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2A85" w14:textId="3CBF8824" w:rsidR="00BE6F3C" w:rsidRDefault="00204C24">
      <w:r>
        <w:t>Non è stato adottato nessun p</w:t>
      </w:r>
      <w:r w:rsidRPr="00204C24">
        <w:t>rovvedimenti A.N.A.C. ed atti di adeguamento a tali provvedimenti in materia di vigilanza e controllo nell'anticorruzione</w:t>
      </w:r>
    </w:p>
    <w:sectPr w:rsidR="00BE6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24"/>
    <w:rsid w:val="00204C24"/>
    <w:rsid w:val="00B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CA41"/>
  <w15:chartTrackingRefBased/>
  <w15:docId w15:val="{0F6DEECC-E3A0-4574-97CF-FCCA8DAE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Cercato</dc:creator>
  <cp:keywords/>
  <dc:description/>
  <cp:lastModifiedBy>Elisabetta Cercato</cp:lastModifiedBy>
  <cp:revision>1</cp:revision>
  <dcterms:created xsi:type="dcterms:W3CDTF">2022-05-18T12:46:00Z</dcterms:created>
  <dcterms:modified xsi:type="dcterms:W3CDTF">2022-05-18T12:47:00Z</dcterms:modified>
</cp:coreProperties>
</file>